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E0" w:rsidRDefault="00BE17E0" w:rsidP="00BE17E0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BE17E0" w:rsidRPr="00A5284A" w:rsidRDefault="00BE17E0" w:rsidP="00BE17E0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35"/>
        <w:gridCol w:w="261"/>
        <w:gridCol w:w="365"/>
        <w:gridCol w:w="125"/>
        <w:gridCol w:w="1012"/>
        <w:gridCol w:w="833"/>
        <w:gridCol w:w="291"/>
        <w:gridCol w:w="112"/>
        <w:gridCol w:w="927"/>
        <w:gridCol w:w="447"/>
        <w:gridCol w:w="188"/>
        <w:gridCol w:w="1528"/>
        <w:gridCol w:w="459"/>
        <w:gridCol w:w="1796"/>
      </w:tblGrid>
      <w:tr w:rsidR="00BE17E0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Петар Станојевић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BE17E0" w:rsidRPr="007916A4" w:rsidRDefault="00BE17E0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01.0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Безбедност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1998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Техничке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Техничке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Индустријско инжењерство 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Војнотехничка академија КоВ Загреб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Техничке науке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BE17E0" w:rsidRPr="00491993" w:rsidTr="009672AF">
        <w:trPr>
          <w:trHeight w:val="82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AC0E94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НБ1.7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Увод у менаџмент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НБ.4.32.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Цивилно војни односи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НБ.3.28</w:t>
            </w:r>
            <w:r w:rsidRPr="005C6097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Логистика у систему националне безбедности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НБ. 3.29/2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Корпоративна безбедност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Високотехнолошки криминал и национална безбедност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 xml:space="preserve">Стратешки безбедносни изазови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Систем корпоративне безбедности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>Управљање ризицима у корпорацији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E17E0" w:rsidRPr="005C6097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9 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C6097">
              <w:rPr>
                <w:rFonts w:ascii="Times New Roman" w:hAnsi="Times New Roman"/>
                <w:sz w:val="20"/>
                <w:szCs w:val="20"/>
              </w:rPr>
              <w:t xml:space="preserve">Систем еколошке безбедности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E17E0" w:rsidRPr="005C6097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C6097"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E17E0" w:rsidRPr="00ED6D0B" w:rsidTr="009672AF">
        <w:trPr>
          <w:trHeight w:val="507"/>
          <w:jc w:val="center"/>
        </w:trPr>
        <w:tc>
          <w:tcPr>
            <w:tcW w:w="1699" w:type="dxa"/>
            <w:gridSpan w:val="2"/>
            <w:vAlign w:val="center"/>
          </w:tcPr>
          <w:p w:rsidR="00BE17E0" w:rsidRPr="00ED6D0B" w:rsidRDefault="00BE17E0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BE17E0" w:rsidRPr="00ED6D0B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86844">
              <w:rPr>
                <w:rFonts w:ascii="Times New Roman" w:hAnsi="Times New Roman"/>
                <w:sz w:val="20"/>
                <w:szCs w:val="20"/>
                <w:lang w:val="sr-Cyrl-CS"/>
              </w:rPr>
              <w:t>Petar Stanojević, Gordana Mišev; Novi trendovi u međunarodno-političkoj dinamici trgovine prirodnim gasom, Međunarodni problemi, Vol. LXX, No. 3/2018, str. 305-336, UDK: 347.71:665.72, Biblid: 0025-8555, 70(2018), DOI: MEDJP18033055</w:t>
            </w:r>
          </w:p>
        </w:tc>
      </w:tr>
      <w:tr w:rsidR="00BE17E0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BE17E0" w:rsidRPr="00ED6D0B" w:rsidRDefault="00BE17E0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</w:tcPr>
          <w:p w:rsidR="00BE17E0" w:rsidRPr="00DC0D70" w:rsidRDefault="00BE17E0" w:rsidP="009672A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Petar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Stanojevi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ć;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Srbija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novoj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paradigmi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prirodnog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gasa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Zbornik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radova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skupa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“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Energetska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diplomatija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Republike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Srbije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savremenim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me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>đ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unarodnim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odnosima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”,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str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94-113,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Beograd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2018., </w:t>
            </w:r>
            <w:r w:rsidRPr="00166D4E">
              <w:rPr>
                <w:rFonts w:ascii="Times New Roman" w:hAnsi="Times New Roman"/>
                <w:sz w:val="20"/>
                <w:szCs w:val="20"/>
                <w:lang w:val="en-GB"/>
              </w:rPr>
              <w:t>UDK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662.767(497.11)</w:t>
            </w:r>
          </w:p>
        </w:tc>
      </w:tr>
      <w:tr w:rsidR="00BE17E0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BE17E0" w:rsidRPr="00ED6D0B" w:rsidRDefault="00BE17E0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BE17E0" w:rsidRPr="00ED6D0B" w:rsidRDefault="00BE17E0" w:rsidP="009672AF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Гордана Мишев, Петар Станојевић, Зоран Јефтић, Неки аспекти безбедности српске инфраструктуре на "Новом путу свиле", У монографија "Нови пут свиле, Европска 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перспектива, Безбедносни изазови/ризици унутар иницијативе 16+1", Универзитет у Београду, Факултет Безбедности, Београд, 2018. пп 193-207. </w:t>
            </w:r>
            <w:r w:rsidRPr="00ED6D0B">
              <w:rPr>
                <w:rFonts w:ascii="Times New Roman" w:hAnsi="Times New Roman"/>
                <w:sz w:val="20"/>
                <w:szCs w:val="20"/>
                <w:lang w:val="en-GB"/>
              </w:rPr>
              <w:t>ISBN 978-86-80144-24-5</w:t>
            </w:r>
          </w:p>
        </w:tc>
      </w:tr>
      <w:tr w:rsidR="00BE17E0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BE17E0" w:rsidRPr="00ED6D0B" w:rsidRDefault="00BE17E0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BE17E0" w:rsidRPr="00ED6D0B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D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Petar Stanojević, Zoran Jeftić, Žarko Obradović; THE WESTERN BALKANS COUNTRIES' ACCESSION TO THE EUROPEAN UNION FROM THE ENERGY PERSPECTIVE, RIA, </w:t>
            </w:r>
            <w:r w:rsidRPr="00ED6D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no. 2, 2020. </w:t>
            </w:r>
          </w:p>
        </w:tc>
      </w:tr>
      <w:tr w:rsidR="00BE17E0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BE17E0" w:rsidRPr="00ED6D0B" w:rsidRDefault="00BE17E0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BE17E0" w:rsidRPr="00ED6D0B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6D0B">
              <w:rPr>
                <w:rFonts w:ascii="Times New Roman" w:hAnsi="Times New Roman"/>
                <w:sz w:val="20"/>
                <w:szCs w:val="20"/>
                <w:lang w:val="sr-Cyrl-CS"/>
              </w:rPr>
              <w:t>Петар Станојевић, Зоран Јефтић, Горан Мандић, Континуитет функционисања критичне инфраструктуре у оквиру пројекта „Појас и Пут“, У монографија „Појас и Пут – реалност и очекивања – искуство Србије“, Универзитет у Београду, Факултет Безбедности, Београд, 2019., пп 193-211. ISBN 978-86-80144-35-1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31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BE17E0" w:rsidRPr="00491993" w:rsidTr="009672AF">
        <w:trPr>
          <w:trHeight w:val="278"/>
          <w:jc w:val="center"/>
        </w:trPr>
        <w:tc>
          <w:tcPr>
            <w:tcW w:w="5511" w:type="dxa"/>
            <w:gridSpan w:val="7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5694" w:type="dxa"/>
            <w:gridSpan w:val="4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2723" w:type="dxa"/>
            <w:gridSpan w:val="4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5D06">
              <w:rPr>
                <w:rFonts w:ascii="Times New Roman" w:hAnsi="Times New Roman"/>
                <w:sz w:val="20"/>
                <w:szCs w:val="20"/>
                <w:lang w:val="sr-Cyrl-CS"/>
              </w:rPr>
              <w:t>Велиka Британија - CACI симулациони софтвер МОДСИМ III; Технички Универзитет Грац – Аустрија,– студије Индустријске (Системске) динамике;  Short MBA – Strategic Management, Frost &amp; Sullivan, London; Short MBA – Managing with Strategic Vision, Frost &amp; Sullivan, London; International Certificate – Business Continuity Risks&amp;Insurance, Steinbeis, Berlin 2009;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Помоћник министра енергетике за нафту и гас, </w:t>
            </w:r>
            <w:r w:rsidRPr="00985D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Професор на </w:t>
            </w:r>
            <w:r w:rsidRPr="00985D06">
              <w:rPr>
                <w:rFonts w:ascii="Times New Roman" w:hAnsi="Times New Roman"/>
                <w:sz w:val="20"/>
                <w:szCs w:val="20"/>
                <w:lang w:val="en-US"/>
              </w:rPr>
              <w:t>Steinbeis</w:t>
            </w:r>
            <w:r w:rsidRPr="00DC0D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5D06">
              <w:rPr>
                <w:rFonts w:ascii="Times New Roman" w:hAnsi="Times New Roman"/>
                <w:sz w:val="20"/>
                <w:szCs w:val="20"/>
              </w:rPr>
              <w:t xml:space="preserve">универзитету </w:t>
            </w:r>
            <w:r w:rsidRPr="00985D06">
              <w:rPr>
                <w:rFonts w:ascii="Times New Roman" w:hAnsi="Times New Roman"/>
                <w:sz w:val="20"/>
                <w:szCs w:val="20"/>
                <w:lang w:val="en-US"/>
              </w:rPr>
              <w:t>Berlin</w:t>
            </w:r>
            <w:r w:rsidRPr="00985D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85D06">
              <w:rPr>
                <w:rFonts w:ascii="Times New Roman" w:hAnsi="Times New Roman"/>
                <w:sz w:val="20"/>
                <w:szCs w:val="20"/>
                <w:lang w:val="sr-Cyrl-CS"/>
              </w:rPr>
              <w:t>Дописни члан Инжењерске Академије Србије, Руководилац организација до 4800  запослених, Руководилац  20  домаћих и међунардоних пројеката са партенерима као Shell, McKinsey, Steinbeis, Lukoil, DEG, SAP, SIEMENS, KPMG, EU FP7 project, основао Иновациони центар НИС, лиценцирани пројектант и пројект менаџер.</w:t>
            </w:r>
          </w:p>
        </w:tc>
      </w:tr>
      <w:tr w:rsidR="00BE17E0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BE17E0" w:rsidRPr="00491993" w:rsidRDefault="00BE17E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нови, која се у том слушају даје као прилог. Ова табела несме прећи једну А4 страну.</w:t>
            </w:r>
          </w:p>
        </w:tc>
      </w:tr>
    </w:tbl>
    <w:p w:rsidR="00BE17E0" w:rsidRDefault="00BE17E0" w:rsidP="00BE17E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BE17E0" w:rsidRDefault="00BE17E0" w:rsidP="00BE17E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BE17E0" w:rsidRPr="00A76F92" w:rsidRDefault="00BE17E0" w:rsidP="00BE17E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231050" w:rsidRPr="00BE17E0" w:rsidRDefault="00BE17E0" w:rsidP="00BE17E0"/>
    <w:sectPr w:rsidR="00231050" w:rsidRPr="00BE17E0" w:rsidSect="00C43B2A">
      <w:footerReference w:type="default" r:id="rId5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C35" w:rsidRDefault="00BE17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5A4C35" w:rsidRDefault="00BE17E0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BE17E0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BE17E0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7E0"/>
    <w:pPr>
      <w:spacing w:before="0" w:after="0"/>
      <w:ind w:firstLine="0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17E0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BE17E0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2020-08-25T08:34:00Z</dcterms:created>
  <dcterms:modified xsi:type="dcterms:W3CDTF">2020-08-25T08:35:00Z</dcterms:modified>
</cp:coreProperties>
</file>